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Participação na Consulta pública sobre o Plano de Mobilidade Sustentável da Cidade de Tavira</w:t>
      </w:r>
    </w:p>
    <w:p w:rsidR="00000000" w:rsidDel="00000000" w:rsidP="00000000" w:rsidRDefault="00000000" w:rsidRPr="00000000" w14:paraId="00000002">
      <w:pPr>
        <w:spacing w:after="14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Venho por este meio manifestar a minha total discordância com o Plano que se encontra em consulta pública.</w:t>
      </w:r>
    </w:p>
    <w:p w:rsidR="00000000" w:rsidDel="00000000" w:rsidP="00000000" w:rsidRDefault="00000000" w:rsidRPr="00000000" w14:paraId="00000003">
      <w:pPr>
        <w:spacing w:after="14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primeiro lugar manifesto a minha indignação quanto ao prazo concedido para a participação dos cidadãos. É inaceitável que o Plano,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que contém quase 100 páginas e cuja consulta pública foi divulgada na passada quarta-feira dia 13 de Março na página de facebook do Município, termine a 21 de Março. Este prazo é impossível de cumprir para a participação real da maioria das pessoas. Além disso, contraria o que consta do próprio plano, nomeadamente a participação dos cidadãos em todas as fases do Plano.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Existe uma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Declaração de impacto ambiental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conduzida pela Agência Portuguesa do Ambiente – APA e realizada há quatro anos, que deu um parecer desfavorável ao atravessamento de estrada no CEAT - Centro de Experimentação Agrária de Tavira - [1] respectivo conteúdo DIA). Não é pois compreensível, nem aceitável, que no plano de mobilidade encomendado e agora apresentado a consulta pública pelo Município de Tavira, intitulado “Plano de Mobilidade Sustentável da Cidade de Tavira (PMSCT)”, se mantenha a proposta de estrada a construir,  inalterada.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Para além disso é um plano do passado, feito ao arrepio dos actuais modelos de mobilidade urbana sustentável ao favorecer o transporte automóvel, negligenciando as questões da saúde pública, do clima, da poluição, dos recursos hídricos e da convivência social.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Um plano obsoleto que não respeita as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orientações da Comissão Europeia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do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Conselho Europeu.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do Parlamento Europeu para o Desenvolvimento Urbano Sustentável, nem do Pacto europeu do Green Deal, no sentido de se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retirar o tráfego automóvel do centro das cidades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after="14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Plano não teve em consideração o que caracteriza Tavira, e, em particular, não teve em linha de conta o património natural e histórico da cidade. O CEAT (Centro de Experimentação Agrária de Tavira) representa e tem sido defendido,  como projeto estratégico da cidade e da região, como um centro privilegiado de promoção da Dieta Mediterrânica.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riqueza e a defesa do património natural e cultural do CEAT está bem expressa quer na DIA referida, quer no Plano de Atividades de Salvaguarda da Dieta Mediterrânica 2023-27 recentemente apresentado (UAlg/ CCDR Algarve I.P.). Este Centro faz parte da estratégia da ex- Direção Regional de Agricultura e Pescas e do município de Tavira , como local identitário da DM e como um polo de inovação. Efetivamente, entre outros, está previsto instalar no CEAT uma Quinta da DM, um Centro de Competências / Interpretação da Dieta Mediterrânica, campos de experimentação / investigação, o Museu da Terra e continuar o trabalho de recuperação e preservação de variedades tradicionais “esquecidas” de espécies mediterrânicas da região.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realização destas atividades permitirá preservar a biodiversidade, valorizar e transmitir às gerações futuras o estilo de vida mediterrânico, demonstrar modos de produção sustentáveis e potenciar o leque de atividades económicas ligadas à Dieta Mediterrânica.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Este Plano contém uma proposta de destruição irreversível deste espaço emblemático, deste pulmão verde da cidade, que deveria ser um parque urbano agrícola e interpretativo para usufruto das populações, exemplar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e motivo de orgulho maior de Tavira como comunidade representativa da DM-PCIH, UNESCO. A pretensão do estabelecimento da estrada  PN 371+317, que se desenvolve ao longo de 608 metros, em espaços com ocupação agrícola predominante (pomar, vinha e áreas incultas) pertencentes, na maior parte, ao Centro de Experimentação Agrária de Tavira da DRAP Algarve/ CCDR Algarve I.P. Agricultura e Pescas, irá destruir o carácter único deste espaço que desde 1926 faz parte da identidade de Tavira. De salientar, ainda, que a solução de restabelecimento da estrada PN 371+317 não estava  prevista no PDM de Tavira, em vigor há 4 anos.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Existem ainda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outros impactos mais gravosos deste projeto de Plano de Mobilidade do município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que é mais uma oportunidade perdida de “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Pensar a cidade, como território  ordenado,  realmente sustentável  e aprazível para as suas gentes”: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Passagem de via de trânsito nas áreas de plantação de fruteiras tradicionais do CEAT junto a edificado estratégico do Centro de Competências da DM/Pólo de Alimentação Sustentável e Escolas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resulta numa perda clara de património natural, cultural, educativo e social. A ser realmente necessária criação de “nova via” a mesma poderia ser projectada próximo à periferia oeste do CEAT, opção que poderia dar serventia às populações da freguesia de Santa Luzia, conferindo melhor acesso ao Museu da Terra e ao “pulmão verde” do CEAT, sem prejudicar os valores do CEAT, preconizados no Plano de Salvaguarda da DM, e Centro de Competências da DM (importância nacional) bem como a sua conectividade pedagógica com o núcleo de escolas, que deixariam igualmente de ser “encurraladas” por estradas, e insegurança, e beneficiariam do pleno usufruto da quinta da Dieta Mediterrânica.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ii)  Possibilidade de instalação de centro intermodal de transportes (alternativa 1) a norte da N125, sem acesso pedonal, na linha da estrada que é sugerida criar  (circular da cidade) para atravessar o CEAT.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município dispõe de outras opções e abordagens para o centro intermodal de transportes e respectiva mobilidade e acessibilidades.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iii) Possibilidade de instalação de centro  intermodal de transportes (alternativa 2) no CEAT onde se encontram actualmente as hortas comunitárias de Tavira.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projecto das hortas comunitárias marca o início da revitalização do CEAT, preconiza os ODS e provém autodeterminação alimentar a mais de 67 agregados familiares da cidade, esta opção é inaceitável e demonstra bem o quão desfasado da realidade é este plano. Acresce ainda a pressão numa zona dentro da malha urbana e com acessos sensíveis tais como a R. Dr. Fausto Cansado que é zona de circulação pedonal de crianças e adolescentes no seu trajecto escolar;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iv) Aumento do fenómeno da ilha de calor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 a substituição de várias zonas verdes existentes (que já são bastante residuais na cidade) por mais áreas betonizadas, impermeáveis e dedicadas à circulação e estacionamento do automóvel; 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v) Corte do Jardim público do Coreto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para passagem de uma via de trânsito promovendo o aumento da poluição, insegurança e diminuição da qualidade do espaço público, no único espaço verde de dimensões consideráveis na cidade (a população já deu sinais claros de oposição a esta estratégia); 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vi) Corte e descaracterização do Jardim público da Alagoa,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mais um golpe na paisagem cultural urbana da cidade para servir sobretudo modelos de gentrificação da cidade;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vii) Destruição do Jardim da Corredoura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para dar lugar a parque de estacionamento 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romover a circulação automóvel em pleno coração da cidade; 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viii) Transformação do único baldio de grandes dimensões existente na cidade, o parque de feiras e mercados, em parque de estacionamento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quando se deveriam promover a implementação de MAIS zonas verdes qualificadas pela presença na envolvente de recintos escolares e desportivos; 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ix) impermeabilização das zonas inundáveis da baixa da cidade.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Este Plano não apresenta quaisquer melhorias para a cidade, sugere ao invés, várias intervenções que em nada refletem as necessidades da cidade de Tavira: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MAIS carros, MAIS insegurança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diminuição da qualidade da paisagem urbana para o centro da cidade de Tavira.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NÃO é um projeto de mobilidade sustentável, é incipiente na sua fundamentação e anda em contraciclo com os próprios ODS (Objectivos de Desenvolvimento Sustentável) que invoca.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Além disso, nesta proposta,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NÃO existiu uma auscultação dos verdadeiros utentes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as pessoas que usam diariamente os espaço centrais da cidade, nomeadamente comerciantes e todos nós, residentes em Tavira.  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Por tudo isto, NÃO concordo com este Plano de Mobilidade.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É imperativo e crucial, perante a complexidade da análise deste Plano de Mobilidade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para a cidade de Tavira, a sua importância estratégica e o respeito pela participação  activa dos cidadãos, que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Consulta pública seja estendida, para além do dia 21 de Março.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t xml:space="preserve">Nome: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Morada: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CC/NIF/PASS/CR: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osinha" w:id="0" w:date="2024-03-15T17:04:00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Eliminava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P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320C5"/>
  </w:style>
  <w:style w:type="paragraph" w:styleId="Ttulo1">
    <w:name w:val="heading 1"/>
    <w:basedOn w:val="Normal"/>
    <w:next w:val="Normal"/>
    <w:link w:val="Ttulo1Carcter"/>
    <w:uiPriority w:val="9"/>
    <w:qFormat w:val="1"/>
    <w:rsid w:val="00177E1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cter"/>
    <w:uiPriority w:val="9"/>
    <w:semiHidden w:val="1"/>
    <w:unhideWhenUsed w:val="1"/>
    <w:qFormat w:val="1"/>
    <w:rsid w:val="00177E1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cter"/>
    <w:uiPriority w:val="9"/>
    <w:semiHidden w:val="1"/>
    <w:unhideWhenUsed w:val="1"/>
    <w:qFormat w:val="1"/>
    <w:rsid w:val="00177E1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cter"/>
    <w:uiPriority w:val="9"/>
    <w:semiHidden w:val="1"/>
    <w:unhideWhenUsed w:val="1"/>
    <w:qFormat w:val="1"/>
    <w:rsid w:val="00177E1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cter"/>
    <w:uiPriority w:val="9"/>
    <w:semiHidden w:val="1"/>
    <w:unhideWhenUsed w:val="1"/>
    <w:qFormat w:val="1"/>
    <w:rsid w:val="00177E1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cter"/>
    <w:uiPriority w:val="9"/>
    <w:semiHidden w:val="1"/>
    <w:unhideWhenUsed w:val="1"/>
    <w:qFormat w:val="1"/>
    <w:rsid w:val="00177E1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cter"/>
    <w:uiPriority w:val="9"/>
    <w:semiHidden w:val="1"/>
    <w:unhideWhenUsed w:val="1"/>
    <w:qFormat w:val="1"/>
    <w:rsid w:val="00177E1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cter"/>
    <w:uiPriority w:val="9"/>
    <w:semiHidden w:val="1"/>
    <w:unhideWhenUsed w:val="1"/>
    <w:qFormat w:val="1"/>
    <w:rsid w:val="00177E1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cter"/>
    <w:uiPriority w:val="9"/>
    <w:semiHidden w:val="1"/>
    <w:unhideWhenUsed w:val="1"/>
    <w:qFormat w:val="1"/>
    <w:rsid w:val="00177E1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arcter" w:customStyle="1">
    <w:name w:val="Título 1 Carácter"/>
    <w:basedOn w:val="Tipodeletrapredefinidodopargrafo"/>
    <w:link w:val="Ttulo1"/>
    <w:uiPriority w:val="9"/>
    <w:rsid w:val="00177E1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cter" w:customStyle="1">
    <w:name w:val="Título 2 Carácter"/>
    <w:basedOn w:val="Tipodeletrapredefinidodopargrafo"/>
    <w:link w:val="Ttulo2"/>
    <w:uiPriority w:val="9"/>
    <w:semiHidden w:val="1"/>
    <w:rsid w:val="00177E1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cter" w:customStyle="1">
    <w:name w:val="Título 3 Carácter"/>
    <w:basedOn w:val="Tipodeletrapredefinidodopargrafo"/>
    <w:link w:val="Ttulo3"/>
    <w:uiPriority w:val="9"/>
    <w:semiHidden w:val="1"/>
    <w:rsid w:val="00177E1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cter" w:customStyle="1">
    <w:name w:val="Título 4 Carácter"/>
    <w:basedOn w:val="Tipodeletrapredefinidodopargrafo"/>
    <w:link w:val="Ttulo4"/>
    <w:uiPriority w:val="9"/>
    <w:semiHidden w:val="1"/>
    <w:rsid w:val="00177E1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cter" w:customStyle="1">
    <w:name w:val="Título 5 Carácter"/>
    <w:basedOn w:val="Tipodeletrapredefinidodopargrafo"/>
    <w:link w:val="Ttulo5"/>
    <w:uiPriority w:val="9"/>
    <w:semiHidden w:val="1"/>
    <w:rsid w:val="00177E11"/>
    <w:rPr>
      <w:rFonts w:cstheme="majorBidi" w:eastAsiaTheme="majorEastAsia"/>
      <w:color w:val="0f4761" w:themeColor="accent1" w:themeShade="0000BF"/>
    </w:rPr>
  </w:style>
  <w:style w:type="character" w:styleId="Ttulo6Carcter" w:customStyle="1">
    <w:name w:val="Título 6 Carácter"/>
    <w:basedOn w:val="Tipodeletrapredefinidodopargrafo"/>
    <w:link w:val="Ttulo6"/>
    <w:uiPriority w:val="9"/>
    <w:semiHidden w:val="1"/>
    <w:rsid w:val="00177E1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cter" w:customStyle="1">
    <w:name w:val="Título 7 Carácter"/>
    <w:basedOn w:val="Tipodeletrapredefinidodopargrafo"/>
    <w:link w:val="Ttulo7"/>
    <w:uiPriority w:val="9"/>
    <w:semiHidden w:val="1"/>
    <w:rsid w:val="00177E11"/>
    <w:rPr>
      <w:rFonts w:cstheme="majorBidi" w:eastAsiaTheme="majorEastAsia"/>
      <w:color w:val="595959" w:themeColor="text1" w:themeTint="0000A6"/>
    </w:rPr>
  </w:style>
  <w:style w:type="character" w:styleId="Ttulo8Carcter" w:customStyle="1">
    <w:name w:val="Título 8 Carácter"/>
    <w:basedOn w:val="Tipodeletrapredefinidodopargrafo"/>
    <w:link w:val="Ttulo8"/>
    <w:uiPriority w:val="9"/>
    <w:semiHidden w:val="1"/>
    <w:rsid w:val="00177E1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cter" w:customStyle="1">
    <w:name w:val="Título 9 Carácter"/>
    <w:basedOn w:val="Tipodeletrapredefinidodopargrafo"/>
    <w:link w:val="Ttulo9"/>
    <w:uiPriority w:val="9"/>
    <w:semiHidden w:val="1"/>
    <w:rsid w:val="00177E1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cter"/>
    <w:uiPriority w:val="10"/>
    <w:qFormat w:val="1"/>
    <w:rsid w:val="00177E1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cter" w:customStyle="1">
    <w:name w:val="Título Carácter"/>
    <w:basedOn w:val="Tipodeletrapredefinidodopargrafo"/>
    <w:link w:val="Ttulo"/>
    <w:uiPriority w:val="10"/>
    <w:rsid w:val="00177E1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ter"/>
    <w:uiPriority w:val="11"/>
    <w:qFormat w:val="1"/>
    <w:rsid w:val="00177E1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cter" w:customStyle="1">
    <w:name w:val="Subtítulo Carácter"/>
    <w:basedOn w:val="Tipodeletrapredefinidodopargrafo"/>
    <w:link w:val="Subttulo"/>
    <w:uiPriority w:val="11"/>
    <w:rsid w:val="00177E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arcter"/>
    <w:uiPriority w:val="29"/>
    <w:qFormat w:val="1"/>
    <w:rsid w:val="00177E1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arcter" w:customStyle="1">
    <w:name w:val="Citação Carácter"/>
    <w:basedOn w:val="Tipodeletrapredefinidodopargrafo"/>
    <w:link w:val="Citao"/>
    <w:uiPriority w:val="29"/>
    <w:rsid w:val="00177E11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77E11"/>
    <w:pPr>
      <w:ind w:left="720"/>
      <w:contextualSpacing w:val="1"/>
    </w:pPr>
  </w:style>
  <w:style w:type="character" w:styleId="nfaseIntenso">
    <w:name w:val="Intense Emphasis"/>
    <w:basedOn w:val="Tipodeletrapredefinidodopargrafo"/>
    <w:uiPriority w:val="21"/>
    <w:qFormat w:val="1"/>
    <w:rsid w:val="00177E11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arcter"/>
    <w:uiPriority w:val="30"/>
    <w:qFormat w:val="1"/>
    <w:rsid w:val="00177E1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arcter" w:customStyle="1">
    <w:name w:val="Citação Intensa Carácter"/>
    <w:basedOn w:val="Tipodeletrapredefinidodopargrafo"/>
    <w:link w:val="CitaoIntensa"/>
    <w:uiPriority w:val="30"/>
    <w:rsid w:val="00177E11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Tipodeletrapredefinidodopargrafo"/>
    <w:uiPriority w:val="32"/>
    <w:qFormat w:val="1"/>
    <w:rsid w:val="00177E1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77E1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de-DE"/>
    </w:rPr>
  </w:style>
  <w:style w:type="character" w:styleId="Hiperligao">
    <w:name w:val="Hyperlink"/>
    <w:basedOn w:val="Tipodeletrapredefinidodopargrafo"/>
    <w:uiPriority w:val="99"/>
    <w:unhideWhenUsed w:val="1"/>
    <w:rsid w:val="00177E11"/>
    <w:rPr>
      <w:color w:val="0000ff"/>
      <w:u w:val="single"/>
    </w:rPr>
  </w:style>
  <w:style w:type="character" w:styleId="apple-tab-span" w:customStyle="1">
    <w:name w:val="apple-tab-span"/>
    <w:basedOn w:val="Tipodeletrapredefinidodopargrafo"/>
    <w:rsid w:val="00177E11"/>
  </w:style>
  <w:style w:type="paragraph" w:styleId="Textodenotaderodap">
    <w:name w:val="footnote text"/>
    <w:basedOn w:val="Normal"/>
    <w:link w:val="TextodenotaderodapCarcter"/>
    <w:uiPriority w:val="99"/>
    <w:semiHidden w:val="1"/>
    <w:unhideWhenUsed w:val="1"/>
    <w:rsid w:val="00C9239F"/>
    <w:pPr>
      <w:spacing w:after="0" w:line="240" w:lineRule="auto"/>
    </w:pPr>
    <w:rPr>
      <w:sz w:val="20"/>
      <w:szCs w:val="20"/>
    </w:rPr>
  </w:style>
  <w:style w:type="character" w:styleId="TextodenotaderodapCarcter" w:customStyle="1">
    <w:name w:val="Texto de nota de rodapé Carácter"/>
    <w:basedOn w:val="Tipodeletrapredefinidodopargrafo"/>
    <w:link w:val="Textodenotaderodap"/>
    <w:uiPriority w:val="99"/>
    <w:semiHidden w:val="1"/>
    <w:rsid w:val="00C9239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 w:val="1"/>
    <w:unhideWhenUsed w:val="1"/>
    <w:rsid w:val="00C9239F"/>
    <w:rPr>
      <w:vertAlign w:val="superscript"/>
    </w:rPr>
  </w:style>
  <w:style w:type="character" w:styleId="UnresolvedMention" w:customStyle="1">
    <w:name w:val="Unresolved Mention"/>
    <w:basedOn w:val="Tipodeletrapredefinidodopargrafo"/>
    <w:uiPriority w:val="99"/>
    <w:semiHidden w:val="1"/>
    <w:unhideWhenUsed w:val="1"/>
    <w:rsid w:val="008C31D7"/>
    <w:rPr>
      <w:color w:val="605e5c"/>
      <w:shd w:color="auto" w:fill="e1dfdd" w:val="clear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E1087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 w:val="1"/>
    <w:unhideWhenUsed w:val="1"/>
    <w:rsid w:val="00E1087E"/>
    <w:pPr>
      <w:spacing w:line="240" w:lineRule="auto"/>
    </w:pPr>
    <w:rPr>
      <w:sz w:val="20"/>
      <w:szCs w:val="20"/>
    </w:rPr>
  </w:style>
  <w:style w:type="character" w:styleId="TextodecomentrioCarcter" w:customStyle="1">
    <w:name w:val="Texto de comentário Carácter"/>
    <w:basedOn w:val="Tipodeletrapredefinidodopargrafo"/>
    <w:link w:val="Textodecomentrio"/>
    <w:uiPriority w:val="99"/>
    <w:semiHidden w:val="1"/>
    <w:rsid w:val="00E108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 w:val="1"/>
    <w:unhideWhenUsed w:val="1"/>
    <w:rsid w:val="00E1087E"/>
    <w:rPr>
      <w:b w:val="1"/>
      <w:bCs w:val="1"/>
    </w:rPr>
  </w:style>
  <w:style w:type="character" w:styleId="AssuntodecomentrioCarcter" w:customStyle="1">
    <w:name w:val="Assunto de comentário Carácter"/>
    <w:basedOn w:val="TextodecomentrioCarcter"/>
    <w:link w:val="Assuntodecomentrio"/>
    <w:uiPriority w:val="99"/>
    <w:semiHidden w:val="1"/>
    <w:rsid w:val="00E1087E"/>
    <w:rPr>
      <w:b w:val="1"/>
      <w:bCs w:val="1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E108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E1087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consilium.europa.eu/pt/policies/clean-and-sustainable-mobility/" TargetMode="External"/><Relationship Id="rId10" Type="http://schemas.openxmlformats.org/officeDocument/2006/relationships/hyperlink" Target="https://commission.europa.eu/eu-regional-and-urban-development/topics/cities-and-urban-development/priority-themes-eu-cities/urban-mobility-and-accessibility_en" TargetMode="External"/><Relationship Id="rId12" Type="http://schemas.openxmlformats.org/officeDocument/2006/relationships/hyperlink" Target="https://eur-lex.europa.eu/legal-content/EN/TXT/?uri=CELEX%3A52021DC0811&amp;qid=1644666550402" TargetMode="Externa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EOZO7I2MVHJDDPq+SKoiMaCCw==">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2024-03-15T17:08:00Z</dcterms:created>
  <dc:creator>Ana Moreno</dc:creator>
</cp:coreProperties>
</file>